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Scrutiny Recommendation Tracker 201</w:t>
      </w:r>
      <w:r w:rsidR="00EC1706">
        <w:rPr>
          <w:b/>
          <w:sz w:val="28"/>
        </w:rPr>
        <w:t>5-16</w:t>
      </w:r>
    </w:p>
    <w:p w:rsidR="00316382" w:rsidRDefault="00316382" w:rsidP="0035028E">
      <w:pPr>
        <w:jc w:val="center"/>
        <w:rPr>
          <w:b/>
          <w:sz w:val="28"/>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992"/>
        <w:gridCol w:w="4394"/>
        <w:gridCol w:w="1701"/>
        <w:gridCol w:w="1701"/>
      </w:tblGrid>
      <w:tr w:rsidR="002F3A2A" w:rsidRPr="00B44C14" w:rsidTr="002F3A2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3A2A" w:rsidRPr="00B44C14" w:rsidRDefault="00EC1706" w:rsidP="002F3A2A">
            <w:pPr>
              <w:rPr>
                <w:rFonts w:cs="Arial"/>
                <w:b/>
                <w:bCs/>
                <w:sz w:val="22"/>
                <w:szCs w:val="22"/>
              </w:rPr>
            </w:pPr>
            <w:r>
              <w:rPr>
                <w:rFonts w:cs="Arial"/>
                <w:b/>
                <w:bCs/>
                <w:sz w:val="22"/>
                <w:szCs w:val="22"/>
              </w:rPr>
              <w:t>Report of the Local Economy Panel</w:t>
            </w:r>
          </w:p>
        </w:tc>
      </w:tr>
      <w:tr w:rsidR="002F3A2A" w:rsidRPr="00B44C14" w:rsidTr="002F3A2A">
        <w:tc>
          <w:tcPr>
            <w:tcW w:w="5245"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Agreed Y/N</w:t>
            </w:r>
          </w:p>
        </w:tc>
        <w:tc>
          <w:tcPr>
            <w:tcW w:w="4394"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Executive response</w:t>
            </w:r>
          </w:p>
        </w:tc>
        <w:tc>
          <w:tcPr>
            <w:tcW w:w="1701" w:type="dxa"/>
            <w:vAlign w:val="center"/>
          </w:tcPr>
          <w:p w:rsidR="002F3A2A" w:rsidRPr="00B44C14" w:rsidRDefault="002F3A2A" w:rsidP="002F3A2A">
            <w:pPr>
              <w:rPr>
                <w:rFonts w:cs="Arial"/>
                <w:b/>
                <w:sz w:val="22"/>
                <w:szCs w:val="22"/>
              </w:rPr>
            </w:pPr>
            <w:r w:rsidRPr="00B44C14">
              <w:rPr>
                <w:rFonts w:cs="Arial"/>
                <w:b/>
                <w:sz w:val="22"/>
                <w:szCs w:val="22"/>
              </w:rPr>
              <w:t xml:space="preserve">Lead Member &amp; Officer </w:t>
            </w:r>
          </w:p>
        </w:tc>
        <w:tc>
          <w:tcPr>
            <w:tcW w:w="1701" w:type="dxa"/>
            <w:vAlign w:val="center"/>
          </w:tcPr>
          <w:p w:rsidR="002F3A2A" w:rsidRPr="00B44C14" w:rsidRDefault="002F3A2A" w:rsidP="006F4EBF">
            <w:pPr>
              <w:rPr>
                <w:rFonts w:cs="Arial"/>
                <w:b/>
                <w:sz w:val="22"/>
                <w:szCs w:val="22"/>
              </w:rPr>
            </w:pPr>
            <w:r w:rsidRPr="00B44C14">
              <w:rPr>
                <w:rFonts w:cs="Arial"/>
                <w:b/>
                <w:sz w:val="22"/>
                <w:szCs w:val="22"/>
              </w:rPr>
              <w:t xml:space="preserve">Implemented Y/N / </w:t>
            </w:r>
            <w:r w:rsidR="006F4EBF">
              <w:rPr>
                <w:rFonts w:cs="Arial"/>
                <w:b/>
                <w:sz w:val="22"/>
                <w:szCs w:val="22"/>
              </w:rPr>
              <w:t xml:space="preserve">update </w:t>
            </w:r>
            <w:r w:rsidRPr="00B44C14">
              <w:rPr>
                <w:rFonts w:cs="Arial"/>
                <w:b/>
                <w:sz w:val="22"/>
                <w:szCs w:val="22"/>
              </w:rPr>
              <w:t xml:space="preserve">due </w:t>
            </w:r>
            <w:r w:rsidR="006F4EBF">
              <w:rPr>
                <w:rFonts w:cs="Arial"/>
                <w:b/>
                <w:sz w:val="22"/>
                <w:szCs w:val="22"/>
              </w:rPr>
              <w:t>date</w:t>
            </w:r>
          </w:p>
        </w:tc>
      </w:tr>
      <w:tr w:rsidR="00EC1706" w:rsidTr="003C1987">
        <w:tc>
          <w:tcPr>
            <w:tcW w:w="5245" w:type="dxa"/>
            <w:shd w:val="clear" w:color="auto" w:fill="auto"/>
          </w:tcPr>
          <w:p w:rsidR="00EC1706" w:rsidRPr="0066079B" w:rsidRDefault="00EC1706" w:rsidP="00627800">
            <w:pPr>
              <w:rPr>
                <w:rFonts w:cs="Arial"/>
              </w:rPr>
            </w:pPr>
            <w:r w:rsidRPr="0066079B">
              <w:rPr>
                <w:rFonts w:cs="Arial"/>
              </w:rPr>
              <w:t>1. We recommend that the City Council:</w:t>
            </w:r>
          </w:p>
          <w:p w:rsidR="00EC1706" w:rsidRPr="0066079B" w:rsidRDefault="00EC1706" w:rsidP="00627800">
            <w:pPr>
              <w:rPr>
                <w:rFonts w:cs="Arial"/>
              </w:rPr>
            </w:pPr>
            <w:r w:rsidRPr="0066079B">
              <w:rPr>
                <w:rFonts w:cs="Arial"/>
              </w:rPr>
              <w:t>a) Ensures that information about appealing to the Valuation Office Agency is made available to local businesses.  In particular, this information should be communicated to all independent traders who may be affected by the major redevelopments taking place in Oxford.</w:t>
            </w:r>
          </w:p>
          <w:p w:rsidR="00EC1706" w:rsidRPr="00AC577F" w:rsidRDefault="00EC1706" w:rsidP="00627800">
            <w:pPr>
              <w:rPr>
                <w:rFonts w:cs="Arial"/>
              </w:rPr>
            </w:pPr>
            <w:r w:rsidRPr="0066079B">
              <w:rPr>
                <w:rFonts w:cs="Arial"/>
              </w:rPr>
              <w:t>b) Takes any opportunities to join with other local authorities to lobby the new Secretary of State for Communities and Local Government for more council controls over business rates.</w:t>
            </w:r>
          </w:p>
        </w:tc>
        <w:tc>
          <w:tcPr>
            <w:tcW w:w="992" w:type="dxa"/>
            <w:shd w:val="clear" w:color="auto" w:fill="auto"/>
          </w:tcPr>
          <w:p w:rsidR="00EC1706" w:rsidRDefault="00EC1706" w:rsidP="00627800">
            <w:pPr>
              <w:rPr>
                <w:rFonts w:cs="Arial"/>
              </w:rPr>
            </w:pPr>
            <w:r>
              <w:rPr>
                <w:rFonts w:cs="Arial"/>
              </w:rPr>
              <w:t xml:space="preserve">  </w:t>
            </w:r>
          </w:p>
          <w:p w:rsidR="00EC1706" w:rsidRDefault="00EC1706" w:rsidP="00627800">
            <w:pPr>
              <w:rPr>
                <w:rFonts w:cs="Arial"/>
              </w:rPr>
            </w:pPr>
          </w:p>
          <w:p w:rsidR="00EC1706" w:rsidRPr="00AC577F" w:rsidRDefault="00EC1706" w:rsidP="00627800">
            <w:pPr>
              <w:rPr>
                <w:rFonts w:cs="Arial"/>
              </w:rPr>
            </w:pPr>
            <w:r>
              <w:rPr>
                <w:rFonts w:cs="Arial"/>
              </w:rPr>
              <w:t>yes</w:t>
            </w:r>
          </w:p>
        </w:tc>
        <w:tc>
          <w:tcPr>
            <w:tcW w:w="4394"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There is no doubt that business rate reform and/or local capacity to benefit from business rate growth on a more generous basis are major issues for local government. The devolution agenda will also have a bearing on these issues.</w:t>
            </w:r>
          </w:p>
        </w:tc>
        <w:tc>
          <w:tcPr>
            <w:tcW w:w="1701" w:type="dxa"/>
          </w:tcPr>
          <w:p w:rsidR="00EC1706" w:rsidRDefault="00EC1706" w:rsidP="00627800">
            <w:pPr>
              <w:rPr>
                <w:rFonts w:cs="Arial"/>
              </w:rPr>
            </w:pPr>
          </w:p>
          <w:p w:rsidR="00EC1706" w:rsidRDefault="00EC1706" w:rsidP="00627800">
            <w:pPr>
              <w:rPr>
                <w:rFonts w:cs="Arial"/>
              </w:rPr>
            </w:pPr>
          </w:p>
          <w:p w:rsidR="00EC1706" w:rsidRPr="00AC577F" w:rsidRDefault="00EC1706" w:rsidP="00627800">
            <w:pPr>
              <w:rPr>
                <w:rFonts w:cs="Arial"/>
              </w:rPr>
            </w:pPr>
            <w:r>
              <w:rPr>
                <w:rFonts w:cs="Arial"/>
              </w:rPr>
              <w:t>Matt Peachey</w:t>
            </w:r>
          </w:p>
        </w:tc>
        <w:tc>
          <w:tcPr>
            <w:tcW w:w="1701" w:type="dxa"/>
          </w:tcPr>
          <w:p w:rsidR="00EC1706" w:rsidRDefault="006F4EBF" w:rsidP="003C1987">
            <w:r>
              <w:t>Nov 20</w:t>
            </w:r>
            <w:bookmarkStart w:id="0" w:name="_GoBack"/>
            <w:bookmarkEnd w:id="0"/>
            <w:r>
              <w:t>15</w:t>
            </w:r>
          </w:p>
        </w:tc>
      </w:tr>
      <w:tr w:rsidR="00EC1706" w:rsidTr="003C1987">
        <w:tc>
          <w:tcPr>
            <w:tcW w:w="5245" w:type="dxa"/>
            <w:shd w:val="clear" w:color="auto" w:fill="auto"/>
          </w:tcPr>
          <w:p w:rsidR="00EC1706" w:rsidRPr="00AC577F" w:rsidRDefault="00EC1706" w:rsidP="00627800">
            <w:pPr>
              <w:rPr>
                <w:rFonts w:cs="Arial"/>
              </w:rPr>
            </w:pPr>
            <w:r w:rsidRPr="0066079B">
              <w:rPr>
                <w:rFonts w:cs="Arial"/>
              </w:rPr>
              <w:t>2. We recommend that the City Council works with the County Council through the Town Team to agree on a single united channel of regular communications to businesses, such as about travel disruptions, supported by a single online source of information.</w:t>
            </w:r>
          </w:p>
        </w:tc>
        <w:tc>
          <w:tcPr>
            <w:tcW w:w="992"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yes</w:t>
            </w:r>
          </w:p>
        </w:tc>
        <w:tc>
          <w:tcPr>
            <w:tcW w:w="4394" w:type="dxa"/>
            <w:shd w:val="clear" w:color="auto" w:fill="auto"/>
          </w:tcPr>
          <w:p w:rsidR="00EC1706" w:rsidRPr="00AC577F" w:rsidRDefault="00EC1706" w:rsidP="00627800">
            <w:pPr>
              <w:rPr>
                <w:rFonts w:cs="Arial"/>
              </w:rPr>
            </w:pPr>
          </w:p>
        </w:tc>
        <w:tc>
          <w:tcPr>
            <w:tcW w:w="1701" w:type="dxa"/>
          </w:tcPr>
          <w:p w:rsidR="00EC1706" w:rsidRPr="00AC577F" w:rsidRDefault="00EC1706" w:rsidP="00627800">
            <w:pPr>
              <w:rPr>
                <w:rFonts w:cs="Arial"/>
              </w:rPr>
            </w:pPr>
            <w:r>
              <w:rPr>
                <w:rFonts w:cs="Arial"/>
              </w:rPr>
              <w:t>City Centre Manager</w:t>
            </w:r>
          </w:p>
        </w:tc>
        <w:tc>
          <w:tcPr>
            <w:tcW w:w="1701" w:type="dxa"/>
          </w:tcPr>
          <w:p w:rsidR="00EC1706" w:rsidRDefault="006F4EBF" w:rsidP="003C1987">
            <w:r w:rsidRPr="006F4EBF">
              <w:t>Nov 2015</w:t>
            </w:r>
          </w:p>
        </w:tc>
      </w:tr>
      <w:tr w:rsidR="00EC1706" w:rsidTr="003C1987">
        <w:tc>
          <w:tcPr>
            <w:tcW w:w="5245" w:type="dxa"/>
            <w:shd w:val="clear" w:color="auto" w:fill="auto"/>
          </w:tcPr>
          <w:p w:rsidR="00EC1706" w:rsidRPr="00AC577F" w:rsidRDefault="00EC1706" w:rsidP="00627800">
            <w:pPr>
              <w:rPr>
                <w:rFonts w:cs="Arial"/>
              </w:rPr>
            </w:pPr>
            <w:r w:rsidRPr="0066079B">
              <w:rPr>
                <w:rFonts w:cs="Arial"/>
              </w:rPr>
              <w:t xml:space="preserve">3. We recommend that the City Council develops a more corporate approach to communicating with businesses, including guidance for all departments whose work has an impact or involvement with businesses. This could take the form of defining a central point of contact within the City Council, which can </w:t>
            </w:r>
            <w:r w:rsidRPr="0066079B">
              <w:rPr>
                <w:rFonts w:cs="Arial"/>
              </w:rPr>
              <w:lastRenderedPageBreak/>
              <w:t>identify the appropriate unit to respond on specific issues, including the County Council as appropriate.</w:t>
            </w:r>
          </w:p>
        </w:tc>
        <w:tc>
          <w:tcPr>
            <w:tcW w:w="992"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no</w:t>
            </w:r>
          </w:p>
        </w:tc>
        <w:tc>
          <w:tcPr>
            <w:tcW w:w="4394"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The Communications team will examine this recommendation and consider what elements of it will be feasible and useful to take forward</w:t>
            </w:r>
          </w:p>
        </w:tc>
        <w:tc>
          <w:tcPr>
            <w:tcW w:w="1701" w:type="dxa"/>
          </w:tcPr>
          <w:p w:rsidR="00EC1706" w:rsidRDefault="00EC1706" w:rsidP="00627800">
            <w:pPr>
              <w:rPr>
                <w:rFonts w:cs="Arial"/>
              </w:rPr>
            </w:pPr>
          </w:p>
          <w:p w:rsidR="00EC1706" w:rsidRDefault="00EC1706" w:rsidP="00627800">
            <w:pPr>
              <w:rPr>
                <w:rFonts w:cs="Arial"/>
              </w:rPr>
            </w:pPr>
          </w:p>
          <w:p w:rsidR="00EC1706" w:rsidRPr="00AC577F" w:rsidRDefault="00EC1706" w:rsidP="00627800">
            <w:pPr>
              <w:rPr>
                <w:rFonts w:cs="Arial"/>
              </w:rPr>
            </w:pPr>
            <w:r>
              <w:rPr>
                <w:rFonts w:cs="Arial"/>
              </w:rPr>
              <w:t>Head of Comms</w:t>
            </w:r>
          </w:p>
        </w:tc>
        <w:tc>
          <w:tcPr>
            <w:tcW w:w="1701" w:type="dxa"/>
          </w:tcPr>
          <w:p w:rsidR="00EC1706" w:rsidRDefault="006F4EBF" w:rsidP="003C1987">
            <w:r>
              <w:t>N/A</w:t>
            </w:r>
          </w:p>
        </w:tc>
      </w:tr>
      <w:tr w:rsidR="00EC1706" w:rsidTr="003C1987">
        <w:tc>
          <w:tcPr>
            <w:tcW w:w="5245" w:type="dxa"/>
            <w:shd w:val="clear" w:color="auto" w:fill="auto"/>
          </w:tcPr>
          <w:p w:rsidR="00EC1706" w:rsidRPr="00AC577F" w:rsidRDefault="00EC1706" w:rsidP="00627800">
            <w:pPr>
              <w:rPr>
                <w:rFonts w:cs="Arial"/>
              </w:rPr>
            </w:pPr>
            <w:r w:rsidRPr="0066079B">
              <w:rPr>
                <w:rFonts w:cs="Arial"/>
              </w:rPr>
              <w:lastRenderedPageBreak/>
              <w:t xml:space="preserve">4. We recommend that the City Council works with partners through the Town Team to reinforce the coordinated overall marketing and publicity campaign for Oxford in ways that cover all major potential audiences.  </w:t>
            </w:r>
          </w:p>
        </w:tc>
        <w:tc>
          <w:tcPr>
            <w:tcW w:w="992"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yes</w:t>
            </w:r>
          </w:p>
        </w:tc>
        <w:tc>
          <w:tcPr>
            <w:tcW w:w="4394"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The Town Team should also work closely with the Chief exec of Experience Oxfordshire on marketing and publicity for the city</w:t>
            </w:r>
          </w:p>
        </w:tc>
        <w:tc>
          <w:tcPr>
            <w:tcW w:w="1701" w:type="dxa"/>
          </w:tcPr>
          <w:p w:rsidR="00EC1706" w:rsidRDefault="00EC1706" w:rsidP="00627800">
            <w:pPr>
              <w:rPr>
                <w:rFonts w:cs="Arial"/>
              </w:rPr>
            </w:pPr>
            <w:r>
              <w:rPr>
                <w:rFonts w:cs="Arial"/>
              </w:rPr>
              <w:t xml:space="preserve"> </w:t>
            </w:r>
          </w:p>
          <w:p w:rsidR="00EC1706" w:rsidRPr="00AC577F" w:rsidRDefault="00EC1706" w:rsidP="00627800">
            <w:pPr>
              <w:rPr>
                <w:rFonts w:cs="Arial"/>
              </w:rPr>
            </w:pPr>
            <w:r>
              <w:rPr>
                <w:rFonts w:cs="Arial"/>
              </w:rPr>
              <w:t>City Centre Manager</w:t>
            </w:r>
          </w:p>
        </w:tc>
        <w:tc>
          <w:tcPr>
            <w:tcW w:w="1701" w:type="dxa"/>
          </w:tcPr>
          <w:p w:rsidR="00EC1706" w:rsidRDefault="006F4EBF" w:rsidP="003C1987">
            <w:r w:rsidRPr="006F4EBF">
              <w:t>Nov 2015</w:t>
            </w:r>
          </w:p>
        </w:tc>
      </w:tr>
      <w:tr w:rsidR="00EC1706" w:rsidTr="003C1987">
        <w:tc>
          <w:tcPr>
            <w:tcW w:w="5245" w:type="dxa"/>
            <w:shd w:val="clear" w:color="auto" w:fill="auto"/>
          </w:tcPr>
          <w:p w:rsidR="00EC1706" w:rsidRPr="00AC577F" w:rsidRDefault="00EC1706" w:rsidP="00627800">
            <w:pPr>
              <w:rPr>
                <w:rFonts w:cs="Arial"/>
              </w:rPr>
            </w:pPr>
            <w:r w:rsidRPr="0066079B">
              <w:rPr>
                <w:rFonts w:cs="Arial"/>
              </w:rPr>
              <w:t>5. We recommend that the City Council develops a one stop shop function for events.  This exercise should include a review of the costs and processes associated with aspects such as permission for road closures, stall licences and permits for distributing leaflets.</w:t>
            </w:r>
          </w:p>
        </w:tc>
        <w:tc>
          <w:tcPr>
            <w:tcW w:w="992"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possibly</w:t>
            </w:r>
          </w:p>
        </w:tc>
        <w:tc>
          <w:tcPr>
            <w:tcW w:w="4394"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The Events Team already provides a pretty comprehensive one stop shop function within the City Council but they have to work alongside County Council officers on highways issues, which inevitably results in a less than fully comprehensive service. Worth exploring the scope for greater integration</w:t>
            </w:r>
          </w:p>
        </w:tc>
        <w:tc>
          <w:tcPr>
            <w:tcW w:w="1701" w:type="dxa"/>
          </w:tcPr>
          <w:p w:rsidR="00EC1706" w:rsidRDefault="00EC1706" w:rsidP="00627800">
            <w:pPr>
              <w:rPr>
                <w:rFonts w:cs="Arial"/>
              </w:rPr>
            </w:pPr>
          </w:p>
          <w:p w:rsidR="00EC1706" w:rsidRPr="00AC577F" w:rsidRDefault="00EC1706" w:rsidP="00627800">
            <w:pPr>
              <w:rPr>
                <w:rFonts w:cs="Arial"/>
              </w:rPr>
            </w:pPr>
            <w:r>
              <w:rPr>
                <w:rFonts w:cs="Arial"/>
              </w:rPr>
              <w:t xml:space="preserve">Peter </w:t>
            </w:r>
            <w:proofErr w:type="spellStart"/>
            <w:r>
              <w:rPr>
                <w:rFonts w:cs="Arial"/>
              </w:rPr>
              <w:t>McQuitty</w:t>
            </w:r>
            <w:proofErr w:type="spellEnd"/>
            <w:r>
              <w:rPr>
                <w:rFonts w:cs="Arial"/>
              </w:rPr>
              <w:t>/Alison Drummond</w:t>
            </w:r>
          </w:p>
        </w:tc>
        <w:tc>
          <w:tcPr>
            <w:tcW w:w="1701" w:type="dxa"/>
          </w:tcPr>
          <w:p w:rsidR="00EC1706" w:rsidRDefault="006F4EBF" w:rsidP="003C1987">
            <w:r w:rsidRPr="006F4EBF">
              <w:t>Nov 2015</w:t>
            </w:r>
          </w:p>
        </w:tc>
      </w:tr>
      <w:tr w:rsidR="00EC1706" w:rsidTr="003C1987">
        <w:tc>
          <w:tcPr>
            <w:tcW w:w="5245" w:type="dxa"/>
            <w:shd w:val="clear" w:color="auto" w:fill="auto"/>
          </w:tcPr>
          <w:p w:rsidR="00EC1706" w:rsidRPr="00AC577F" w:rsidRDefault="00EC1706" w:rsidP="00627800">
            <w:pPr>
              <w:rPr>
                <w:rFonts w:cs="Arial"/>
              </w:rPr>
            </w:pPr>
            <w:r w:rsidRPr="0066079B">
              <w:rPr>
                <w:rFonts w:cs="Arial"/>
              </w:rPr>
              <w:t>6. We recommend that the City Council produces a simple analysis of the costs and benefits of pop up shops to landlords and the City Council.</w:t>
            </w:r>
          </w:p>
        </w:tc>
        <w:tc>
          <w:tcPr>
            <w:tcW w:w="992" w:type="dxa"/>
            <w:shd w:val="clear" w:color="auto" w:fill="auto"/>
          </w:tcPr>
          <w:p w:rsidR="00EC1706" w:rsidRPr="00AC577F" w:rsidRDefault="00EC1706" w:rsidP="00627800">
            <w:pPr>
              <w:rPr>
                <w:rFonts w:cs="Arial"/>
              </w:rPr>
            </w:pPr>
            <w:r>
              <w:rPr>
                <w:rFonts w:cs="Arial"/>
              </w:rPr>
              <w:t xml:space="preserve"> no</w:t>
            </w:r>
          </w:p>
        </w:tc>
        <w:tc>
          <w:tcPr>
            <w:tcW w:w="4394" w:type="dxa"/>
            <w:shd w:val="clear" w:color="auto" w:fill="auto"/>
          </w:tcPr>
          <w:p w:rsidR="00EC1706" w:rsidRPr="00AC577F" w:rsidRDefault="00EC1706" w:rsidP="00627800">
            <w:pPr>
              <w:rPr>
                <w:rFonts w:cs="Arial"/>
              </w:rPr>
            </w:pPr>
            <w:r>
              <w:rPr>
                <w:rFonts w:cs="Arial"/>
              </w:rPr>
              <w:t>The costs and benefits will vary so widely that this is likely to be a nugatory exercise.</w:t>
            </w:r>
          </w:p>
        </w:tc>
        <w:tc>
          <w:tcPr>
            <w:tcW w:w="1701" w:type="dxa"/>
          </w:tcPr>
          <w:p w:rsidR="00EC1706" w:rsidRPr="00AC577F" w:rsidRDefault="00EC1706" w:rsidP="00627800">
            <w:pPr>
              <w:rPr>
                <w:rFonts w:cs="Arial"/>
              </w:rPr>
            </w:pPr>
          </w:p>
        </w:tc>
        <w:tc>
          <w:tcPr>
            <w:tcW w:w="1701" w:type="dxa"/>
          </w:tcPr>
          <w:p w:rsidR="00EC1706" w:rsidRDefault="006F4EBF" w:rsidP="003C1987">
            <w:r>
              <w:t>N/A</w:t>
            </w:r>
          </w:p>
        </w:tc>
      </w:tr>
      <w:tr w:rsidR="00EC1706" w:rsidTr="003C1987">
        <w:tc>
          <w:tcPr>
            <w:tcW w:w="5245" w:type="dxa"/>
            <w:shd w:val="clear" w:color="auto" w:fill="auto"/>
          </w:tcPr>
          <w:p w:rsidR="00EC1706" w:rsidRPr="00AC577F" w:rsidRDefault="00EC1706" w:rsidP="00627800">
            <w:pPr>
              <w:rPr>
                <w:rFonts w:cs="Arial"/>
              </w:rPr>
            </w:pPr>
            <w:r w:rsidRPr="0066079B">
              <w:rPr>
                <w:rFonts w:cs="Arial"/>
              </w:rPr>
              <w:t xml:space="preserve">7. We recommend that the City Council takes a lead in establishing and facilitating a city centre commercial property landlord forum.  This would be intended to bring together the owners of commercial properties, including the City Council, to ensure that there is a coordinated approach towards issues affecting the city centre, such as the minimisation of the time during which premises are empty.  The forum could be chaired by the Leader of the Council, </w:t>
            </w:r>
            <w:r w:rsidRPr="0066079B">
              <w:rPr>
                <w:rFonts w:cs="Arial"/>
              </w:rPr>
              <w:lastRenderedPageBreak/>
              <w:t>linked to the work of the Town Team and constituted based on the model of the previous Pensions and Language School forums.  We also suggest that its membership should include a representative of each political group and that City Councillors should be able to observe meetings of the forum.</w:t>
            </w:r>
          </w:p>
        </w:tc>
        <w:tc>
          <w:tcPr>
            <w:tcW w:w="992"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yes</w:t>
            </w:r>
          </w:p>
        </w:tc>
        <w:tc>
          <w:tcPr>
            <w:tcW w:w="4394"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 xml:space="preserve">This is a worthwhile initiative and worth trying, although there is an obvious danger that it would simply replicate the Town Team’s work. The TOR would have to be very carefully written. </w:t>
            </w:r>
          </w:p>
        </w:tc>
        <w:tc>
          <w:tcPr>
            <w:tcW w:w="1701" w:type="dxa"/>
          </w:tcPr>
          <w:p w:rsidR="00EC1706" w:rsidRDefault="00EC1706" w:rsidP="00627800">
            <w:pPr>
              <w:rPr>
                <w:rFonts w:cs="Arial"/>
              </w:rPr>
            </w:pPr>
          </w:p>
          <w:p w:rsidR="00EC1706" w:rsidRDefault="00EC1706" w:rsidP="00627800">
            <w:pPr>
              <w:rPr>
                <w:rFonts w:cs="Arial"/>
              </w:rPr>
            </w:pPr>
          </w:p>
          <w:p w:rsidR="00EC1706" w:rsidRDefault="00EC1706" w:rsidP="00627800">
            <w:pPr>
              <w:rPr>
                <w:rFonts w:cs="Arial"/>
              </w:rPr>
            </w:pPr>
          </w:p>
          <w:p w:rsidR="00EC1706" w:rsidRPr="00AC577F" w:rsidRDefault="00EC1706" w:rsidP="00627800">
            <w:pPr>
              <w:rPr>
                <w:rFonts w:cs="Arial"/>
              </w:rPr>
            </w:pPr>
            <w:r>
              <w:rPr>
                <w:rFonts w:cs="Arial"/>
              </w:rPr>
              <w:t>Jane Winfield</w:t>
            </w:r>
          </w:p>
        </w:tc>
        <w:tc>
          <w:tcPr>
            <w:tcW w:w="1701" w:type="dxa"/>
          </w:tcPr>
          <w:p w:rsidR="00EC1706" w:rsidRDefault="006F4EBF" w:rsidP="003C1987">
            <w:r w:rsidRPr="006F4EBF">
              <w:t>Nov 2015</w:t>
            </w:r>
          </w:p>
        </w:tc>
      </w:tr>
      <w:tr w:rsidR="00EC1706" w:rsidTr="003C1987">
        <w:tc>
          <w:tcPr>
            <w:tcW w:w="5245" w:type="dxa"/>
            <w:shd w:val="clear" w:color="auto" w:fill="auto"/>
          </w:tcPr>
          <w:p w:rsidR="00EC1706" w:rsidRPr="00AC577F" w:rsidRDefault="00EC1706" w:rsidP="00627800">
            <w:pPr>
              <w:rPr>
                <w:rFonts w:cs="Arial"/>
              </w:rPr>
            </w:pPr>
            <w:r w:rsidRPr="0066079B">
              <w:rPr>
                <w:rFonts w:cs="Arial"/>
              </w:rPr>
              <w:lastRenderedPageBreak/>
              <w:t xml:space="preserve">8. We recommend that the City Council leads on the development of a long term strategy for the city centre as a whole.  This should include a commitment to developing and supporting vibrant and distinct city quarters away from prime sites, in locations such as Gloucester Green, Jericho/Observatory Quarter, Market Street, Broad Street and a possible arts quarter around the </w:t>
            </w:r>
            <w:proofErr w:type="spellStart"/>
            <w:r w:rsidRPr="0066079B">
              <w:rPr>
                <w:rFonts w:cs="Arial"/>
              </w:rPr>
              <w:t>Ashmolean</w:t>
            </w:r>
            <w:proofErr w:type="spellEnd"/>
            <w:r w:rsidRPr="0066079B">
              <w:rPr>
                <w:rFonts w:cs="Arial"/>
              </w:rPr>
              <w:t xml:space="preserve"> Museum.</w:t>
            </w:r>
          </w:p>
        </w:tc>
        <w:tc>
          <w:tcPr>
            <w:tcW w:w="992" w:type="dxa"/>
            <w:shd w:val="clear" w:color="auto" w:fill="auto"/>
          </w:tcPr>
          <w:p w:rsidR="00EC1706" w:rsidRDefault="00EC1706" w:rsidP="00627800">
            <w:pPr>
              <w:rPr>
                <w:rFonts w:cs="Arial"/>
              </w:rPr>
            </w:pPr>
          </w:p>
          <w:p w:rsidR="00EC1706" w:rsidRDefault="00EC1706" w:rsidP="00627800">
            <w:pPr>
              <w:rPr>
                <w:rFonts w:cs="Arial"/>
              </w:rPr>
            </w:pPr>
          </w:p>
          <w:p w:rsidR="00EC1706" w:rsidRPr="00AC577F" w:rsidRDefault="00EC1706" w:rsidP="00627800">
            <w:pPr>
              <w:rPr>
                <w:rFonts w:cs="Arial"/>
              </w:rPr>
            </w:pPr>
            <w:r>
              <w:rPr>
                <w:rFonts w:cs="Arial"/>
              </w:rPr>
              <w:t>yes</w:t>
            </w:r>
          </w:p>
        </w:tc>
        <w:tc>
          <w:tcPr>
            <w:tcW w:w="4394"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Work is already under way in the Planning Policy team on a city centre strategy.</w:t>
            </w:r>
          </w:p>
        </w:tc>
        <w:tc>
          <w:tcPr>
            <w:tcW w:w="1701" w:type="dxa"/>
          </w:tcPr>
          <w:p w:rsidR="00EC1706" w:rsidRDefault="00EC1706" w:rsidP="00627800">
            <w:pPr>
              <w:rPr>
                <w:rFonts w:cs="Arial"/>
              </w:rPr>
            </w:pPr>
          </w:p>
          <w:p w:rsidR="00EC1706" w:rsidRDefault="00EC1706" w:rsidP="00627800">
            <w:pPr>
              <w:rPr>
                <w:rFonts w:cs="Arial"/>
              </w:rPr>
            </w:pPr>
          </w:p>
          <w:p w:rsidR="00EC1706" w:rsidRPr="00AC577F" w:rsidRDefault="00EC1706" w:rsidP="00627800">
            <w:pPr>
              <w:rPr>
                <w:rFonts w:cs="Arial"/>
              </w:rPr>
            </w:pPr>
            <w:r>
              <w:rPr>
                <w:rFonts w:cs="Arial"/>
              </w:rPr>
              <w:t>Rachel Williams</w:t>
            </w:r>
          </w:p>
        </w:tc>
        <w:tc>
          <w:tcPr>
            <w:tcW w:w="1701" w:type="dxa"/>
          </w:tcPr>
          <w:p w:rsidR="00EC1706" w:rsidRDefault="006F4EBF" w:rsidP="003C1987">
            <w:r w:rsidRPr="006F4EBF">
              <w:t>Nov 2015</w:t>
            </w:r>
          </w:p>
        </w:tc>
      </w:tr>
      <w:tr w:rsidR="00EC1706" w:rsidTr="003C1987">
        <w:tc>
          <w:tcPr>
            <w:tcW w:w="5245" w:type="dxa"/>
            <w:shd w:val="clear" w:color="auto" w:fill="auto"/>
          </w:tcPr>
          <w:p w:rsidR="00EC1706" w:rsidRPr="00AC577F" w:rsidRDefault="00EC1706" w:rsidP="00627800">
            <w:pPr>
              <w:rPr>
                <w:rFonts w:cs="Arial"/>
              </w:rPr>
            </w:pPr>
            <w:r w:rsidRPr="0066079B">
              <w:rPr>
                <w:rFonts w:cs="Arial"/>
              </w:rPr>
              <w:t>9. We recommend that dedicated officer time is allocated to the development and delivery of this city centre strategy.  This could be funded wholly or in part via a BID and by additional business rates income that the role will generate, via reduced voids in commercial properties.</w:t>
            </w:r>
          </w:p>
        </w:tc>
        <w:tc>
          <w:tcPr>
            <w:tcW w:w="992" w:type="dxa"/>
            <w:shd w:val="clear" w:color="auto" w:fill="auto"/>
          </w:tcPr>
          <w:p w:rsidR="00EC1706" w:rsidRDefault="00EC1706" w:rsidP="00627800">
            <w:pPr>
              <w:rPr>
                <w:rFonts w:cs="Arial"/>
              </w:rPr>
            </w:pPr>
          </w:p>
          <w:p w:rsidR="00EC1706" w:rsidRDefault="00EC1706" w:rsidP="00627800">
            <w:pPr>
              <w:rPr>
                <w:rFonts w:cs="Arial"/>
              </w:rPr>
            </w:pPr>
          </w:p>
          <w:p w:rsidR="00EC1706" w:rsidRPr="00AC577F" w:rsidRDefault="00EC1706" w:rsidP="00627800">
            <w:pPr>
              <w:rPr>
                <w:rFonts w:cs="Arial"/>
              </w:rPr>
            </w:pPr>
            <w:r>
              <w:rPr>
                <w:rFonts w:cs="Arial"/>
              </w:rPr>
              <w:t>premature</w:t>
            </w:r>
          </w:p>
        </w:tc>
        <w:tc>
          <w:tcPr>
            <w:tcW w:w="4394"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When we have an agreed strategy, the resource implications will be assessed. The Town Team will be continuing their consideration of a BID over the next few months. The initiative lies with the business community</w:t>
            </w:r>
          </w:p>
        </w:tc>
        <w:tc>
          <w:tcPr>
            <w:tcW w:w="1701" w:type="dxa"/>
          </w:tcPr>
          <w:p w:rsidR="00EC1706" w:rsidRPr="00AC577F" w:rsidRDefault="00EC1706" w:rsidP="00627800">
            <w:pPr>
              <w:rPr>
                <w:rFonts w:cs="Arial"/>
              </w:rPr>
            </w:pPr>
          </w:p>
        </w:tc>
        <w:tc>
          <w:tcPr>
            <w:tcW w:w="1701" w:type="dxa"/>
          </w:tcPr>
          <w:p w:rsidR="00EC1706" w:rsidRDefault="006F4EBF" w:rsidP="003C1987">
            <w:r w:rsidRPr="006F4EBF">
              <w:t>Nov 2015</w:t>
            </w:r>
          </w:p>
        </w:tc>
      </w:tr>
      <w:tr w:rsidR="00EC1706" w:rsidTr="003C1987">
        <w:tc>
          <w:tcPr>
            <w:tcW w:w="5245" w:type="dxa"/>
            <w:shd w:val="clear" w:color="auto" w:fill="auto"/>
          </w:tcPr>
          <w:p w:rsidR="00EC1706" w:rsidRPr="00AC577F" w:rsidRDefault="00EC1706" w:rsidP="00627800">
            <w:pPr>
              <w:rPr>
                <w:rFonts w:cs="Arial"/>
              </w:rPr>
            </w:pPr>
            <w:r w:rsidRPr="0066079B">
              <w:rPr>
                <w:rFonts w:cs="Arial"/>
              </w:rPr>
              <w:t>10. We recommend that the City Council’s next Asset Strategy (2016-2020) builds upon the aim (not always presently achieved) of utilising City Council assets in ways that can provide wider strategic benefits to the city centre.  The Asset Strategy could provide clear guidelines on the use of City Council-owned commercial premises to ensure the diversity and vitality of the city’s wider retail offer.</w:t>
            </w:r>
          </w:p>
        </w:tc>
        <w:tc>
          <w:tcPr>
            <w:tcW w:w="992" w:type="dxa"/>
            <w:shd w:val="clear" w:color="auto" w:fill="auto"/>
          </w:tcPr>
          <w:p w:rsidR="00EC1706" w:rsidRDefault="00EC1706" w:rsidP="00627800">
            <w:pPr>
              <w:rPr>
                <w:rFonts w:cs="Arial"/>
              </w:rPr>
            </w:pPr>
          </w:p>
          <w:p w:rsidR="00EC1706" w:rsidRDefault="00EC1706" w:rsidP="00627800">
            <w:pPr>
              <w:rPr>
                <w:rFonts w:cs="Arial"/>
              </w:rPr>
            </w:pPr>
          </w:p>
          <w:p w:rsidR="00EC1706" w:rsidRPr="00AC577F" w:rsidRDefault="00EC1706" w:rsidP="00627800">
            <w:pPr>
              <w:rPr>
                <w:rFonts w:cs="Arial"/>
              </w:rPr>
            </w:pPr>
            <w:r>
              <w:rPr>
                <w:rFonts w:cs="Arial"/>
              </w:rPr>
              <w:t>no</w:t>
            </w:r>
          </w:p>
        </w:tc>
        <w:tc>
          <w:tcPr>
            <w:tcW w:w="4394" w:type="dxa"/>
            <w:shd w:val="clear" w:color="auto" w:fill="auto"/>
          </w:tcPr>
          <w:p w:rsidR="00EC1706" w:rsidRDefault="00EC1706" w:rsidP="00627800">
            <w:pPr>
              <w:rPr>
                <w:rFonts w:cs="Arial"/>
              </w:rPr>
            </w:pPr>
          </w:p>
          <w:p w:rsidR="00EC1706" w:rsidRPr="00AC577F" w:rsidRDefault="00EC1706" w:rsidP="00627800">
            <w:pPr>
              <w:rPr>
                <w:rFonts w:cs="Arial"/>
              </w:rPr>
            </w:pPr>
            <w:r>
              <w:rPr>
                <w:rFonts w:cs="Arial"/>
              </w:rPr>
              <w:t>This recommendation will be remitted to the Asset management team for consideration with the portfolio holder and key officers when work on the 2016-20 strategy is started.</w:t>
            </w:r>
          </w:p>
        </w:tc>
        <w:tc>
          <w:tcPr>
            <w:tcW w:w="1701" w:type="dxa"/>
          </w:tcPr>
          <w:p w:rsidR="00EC1706" w:rsidRDefault="00EC1706" w:rsidP="00627800">
            <w:pPr>
              <w:rPr>
                <w:rFonts w:cs="Arial"/>
              </w:rPr>
            </w:pPr>
          </w:p>
          <w:p w:rsidR="00EC1706" w:rsidRDefault="00EC1706" w:rsidP="00627800">
            <w:pPr>
              <w:rPr>
                <w:rFonts w:cs="Arial"/>
              </w:rPr>
            </w:pPr>
          </w:p>
          <w:p w:rsidR="00EC1706" w:rsidRPr="00AC577F" w:rsidRDefault="00EC1706" w:rsidP="00627800">
            <w:pPr>
              <w:rPr>
                <w:rFonts w:cs="Arial"/>
              </w:rPr>
            </w:pPr>
            <w:r>
              <w:rPr>
                <w:rFonts w:cs="Arial"/>
              </w:rPr>
              <w:t>David Edwards/Jane Winfield</w:t>
            </w:r>
          </w:p>
        </w:tc>
        <w:tc>
          <w:tcPr>
            <w:tcW w:w="1701" w:type="dxa"/>
          </w:tcPr>
          <w:p w:rsidR="00EC1706" w:rsidRDefault="006F4EBF" w:rsidP="003C1987">
            <w:r>
              <w:t>N/A</w:t>
            </w:r>
          </w:p>
        </w:tc>
      </w:tr>
      <w:tr w:rsidR="00A068C0" w:rsidRPr="00B44C14" w:rsidTr="0021254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068C0" w:rsidRPr="003C1987" w:rsidRDefault="00EC1706" w:rsidP="00A068C0">
            <w:pPr>
              <w:rPr>
                <w:rFonts w:cs="Arial"/>
                <w:b/>
                <w:bCs/>
                <w:sz w:val="22"/>
                <w:szCs w:val="22"/>
              </w:rPr>
            </w:pPr>
            <w:r>
              <w:rPr>
                <w:rFonts w:cs="Arial"/>
                <w:b/>
                <w:bCs/>
                <w:sz w:val="22"/>
                <w:szCs w:val="22"/>
              </w:rPr>
              <w:lastRenderedPageBreak/>
              <w:t xml:space="preserve">Covered Market Leasing Strategy </w:t>
            </w:r>
            <w:r w:rsidRPr="00EC1706">
              <w:rPr>
                <w:rFonts w:cs="Arial"/>
                <w:b/>
                <w:bCs/>
                <w:sz w:val="22"/>
                <w:szCs w:val="22"/>
              </w:rPr>
              <w:t>– Scrutiny Committee 2 June</w:t>
            </w:r>
          </w:p>
        </w:tc>
      </w:tr>
      <w:tr w:rsidR="00A068C0" w:rsidRPr="00B44C14" w:rsidTr="0021254A">
        <w:tc>
          <w:tcPr>
            <w:tcW w:w="5245" w:type="dxa"/>
            <w:shd w:val="clear" w:color="auto" w:fill="auto"/>
            <w:vAlign w:val="center"/>
          </w:tcPr>
          <w:p w:rsidR="00A068C0" w:rsidRPr="00B44C14" w:rsidRDefault="00A068C0" w:rsidP="0021254A">
            <w:pPr>
              <w:rPr>
                <w:rFonts w:cs="Arial"/>
                <w:b/>
                <w:sz w:val="22"/>
                <w:szCs w:val="22"/>
              </w:rPr>
            </w:pPr>
            <w:r w:rsidRPr="00B44C14">
              <w:rPr>
                <w:rFonts w:cs="Arial"/>
                <w:b/>
                <w:sz w:val="22"/>
                <w:szCs w:val="22"/>
              </w:rPr>
              <w:t>Recommendation</w:t>
            </w:r>
          </w:p>
        </w:tc>
        <w:tc>
          <w:tcPr>
            <w:tcW w:w="992" w:type="dxa"/>
            <w:shd w:val="clear" w:color="auto" w:fill="auto"/>
            <w:vAlign w:val="center"/>
          </w:tcPr>
          <w:p w:rsidR="00A068C0" w:rsidRPr="00B44C14" w:rsidRDefault="00A068C0" w:rsidP="0021254A">
            <w:pPr>
              <w:rPr>
                <w:rFonts w:cs="Arial"/>
                <w:b/>
                <w:sz w:val="22"/>
                <w:szCs w:val="22"/>
              </w:rPr>
            </w:pPr>
            <w:r w:rsidRPr="00B44C14">
              <w:rPr>
                <w:rFonts w:cs="Arial"/>
                <w:b/>
                <w:sz w:val="22"/>
                <w:szCs w:val="22"/>
              </w:rPr>
              <w:t>Agreed Y/N</w:t>
            </w:r>
          </w:p>
        </w:tc>
        <w:tc>
          <w:tcPr>
            <w:tcW w:w="4394" w:type="dxa"/>
            <w:shd w:val="clear" w:color="auto" w:fill="auto"/>
            <w:vAlign w:val="center"/>
          </w:tcPr>
          <w:p w:rsidR="00A068C0" w:rsidRPr="003C1987" w:rsidRDefault="00A068C0" w:rsidP="0021254A">
            <w:pPr>
              <w:rPr>
                <w:rFonts w:cs="Arial"/>
                <w:b/>
                <w:sz w:val="22"/>
                <w:szCs w:val="22"/>
              </w:rPr>
            </w:pPr>
            <w:r w:rsidRPr="003C1987">
              <w:rPr>
                <w:rFonts w:cs="Arial"/>
                <w:b/>
                <w:sz w:val="22"/>
                <w:szCs w:val="22"/>
              </w:rPr>
              <w:t>Executive response</w:t>
            </w:r>
          </w:p>
        </w:tc>
        <w:tc>
          <w:tcPr>
            <w:tcW w:w="1701" w:type="dxa"/>
            <w:vAlign w:val="center"/>
          </w:tcPr>
          <w:p w:rsidR="00A068C0" w:rsidRPr="00B44C14" w:rsidRDefault="00A068C0" w:rsidP="0021254A">
            <w:pPr>
              <w:rPr>
                <w:rFonts w:cs="Arial"/>
                <w:b/>
                <w:sz w:val="22"/>
                <w:szCs w:val="22"/>
              </w:rPr>
            </w:pPr>
            <w:r w:rsidRPr="00B44C14">
              <w:rPr>
                <w:rFonts w:cs="Arial"/>
                <w:b/>
                <w:sz w:val="22"/>
                <w:szCs w:val="22"/>
              </w:rPr>
              <w:t xml:space="preserve">Lead Member &amp; Officer </w:t>
            </w:r>
          </w:p>
        </w:tc>
        <w:tc>
          <w:tcPr>
            <w:tcW w:w="1701" w:type="dxa"/>
            <w:vAlign w:val="center"/>
          </w:tcPr>
          <w:p w:rsidR="00A068C0" w:rsidRPr="00B44C14" w:rsidRDefault="00A068C0" w:rsidP="0021254A">
            <w:pPr>
              <w:rPr>
                <w:rFonts w:cs="Arial"/>
                <w:b/>
                <w:sz w:val="22"/>
                <w:szCs w:val="22"/>
              </w:rPr>
            </w:pPr>
            <w:r w:rsidRPr="00B44C14">
              <w:rPr>
                <w:rFonts w:cs="Arial"/>
                <w:b/>
                <w:sz w:val="22"/>
                <w:szCs w:val="22"/>
              </w:rPr>
              <w:t>Implemented Y/N / due date</w:t>
            </w:r>
          </w:p>
        </w:tc>
      </w:tr>
      <w:tr w:rsidR="00A068C0" w:rsidTr="0021254A">
        <w:tc>
          <w:tcPr>
            <w:tcW w:w="5245" w:type="dxa"/>
            <w:shd w:val="clear" w:color="auto" w:fill="auto"/>
            <w:vAlign w:val="center"/>
          </w:tcPr>
          <w:p w:rsidR="00EC1706" w:rsidRPr="00EC1706" w:rsidRDefault="00EC1706" w:rsidP="00EC1706">
            <w:pPr>
              <w:rPr>
                <w:rFonts w:cs="Arial"/>
                <w:sz w:val="22"/>
                <w:szCs w:val="22"/>
              </w:rPr>
            </w:pPr>
            <w:r w:rsidRPr="00EC1706">
              <w:rPr>
                <w:rFonts w:cs="Arial"/>
                <w:sz w:val="22"/>
                <w:szCs w:val="22"/>
              </w:rPr>
              <w:t>We recommend that the City Executive Board approve the updated Covered Market Leasing Strategy 2015 with the following amendments:</w:t>
            </w:r>
          </w:p>
          <w:p w:rsidR="00EC1706" w:rsidRPr="00EC1706" w:rsidRDefault="00EC1706" w:rsidP="00EC1706">
            <w:pPr>
              <w:rPr>
                <w:rFonts w:cs="Arial"/>
                <w:sz w:val="22"/>
                <w:szCs w:val="22"/>
              </w:rPr>
            </w:pPr>
            <w:r w:rsidRPr="00EC1706">
              <w:rPr>
                <w:rFonts w:cs="Arial"/>
                <w:sz w:val="22"/>
                <w:szCs w:val="22"/>
              </w:rPr>
              <w:t>a) The word ‘discouraged’ in paragraph 4.4 is strengthened to ‘avoided’.</w:t>
            </w:r>
          </w:p>
          <w:p w:rsidR="00A068C0" w:rsidRPr="00B44C14" w:rsidRDefault="00EC1706" w:rsidP="00EC1706">
            <w:pPr>
              <w:rPr>
                <w:rFonts w:cs="Arial"/>
                <w:sz w:val="22"/>
                <w:szCs w:val="22"/>
              </w:rPr>
            </w:pPr>
            <w:r w:rsidRPr="00EC1706">
              <w:rPr>
                <w:rFonts w:cs="Arial"/>
                <w:sz w:val="22"/>
                <w:szCs w:val="22"/>
              </w:rPr>
              <w:t>b) The word ‘typically’ in the sixth bullet point of paragraph 4.9 is changed to ‘usually’.  It could also be stated that exceptions will be considered for larger independent retailers that originate from Oxford.</w:t>
            </w:r>
          </w:p>
        </w:tc>
        <w:tc>
          <w:tcPr>
            <w:tcW w:w="992" w:type="dxa"/>
            <w:shd w:val="clear" w:color="auto" w:fill="auto"/>
          </w:tcPr>
          <w:p w:rsidR="00A068C0" w:rsidRPr="002073B7" w:rsidRDefault="00706748" w:rsidP="0021254A">
            <w:pPr>
              <w:rPr>
                <w:rFonts w:cs="Arial"/>
              </w:rPr>
            </w:pPr>
            <w:r>
              <w:rPr>
                <w:rFonts w:cs="Arial"/>
              </w:rPr>
              <w:t>Y</w:t>
            </w:r>
          </w:p>
        </w:tc>
        <w:tc>
          <w:tcPr>
            <w:tcW w:w="4394" w:type="dxa"/>
            <w:shd w:val="clear" w:color="auto" w:fill="auto"/>
          </w:tcPr>
          <w:p w:rsidR="00A068C0" w:rsidRPr="003C1987" w:rsidRDefault="00706748" w:rsidP="0021254A">
            <w:pPr>
              <w:rPr>
                <w:rFonts w:cs="Arial"/>
              </w:rPr>
            </w:pPr>
            <w:r>
              <w:rPr>
                <w:rFonts w:cs="Arial"/>
              </w:rPr>
              <w:t>Happy to accept these changes</w:t>
            </w:r>
          </w:p>
        </w:tc>
        <w:tc>
          <w:tcPr>
            <w:tcW w:w="1701" w:type="dxa"/>
          </w:tcPr>
          <w:p w:rsidR="00A068C0" w:rsidRPr="00B44C14" w:rsidRDefault="00706748" w:rsidP="0021254A">
            <w:pPr>
              <w:rPr>
                <w:rFonts w:cs="Arial"/>
                <w:sz w:val="22"/>
                <w:szCs w:val="22"/>
              </w:rPr>
            </w:pPr>
            <w:r>
              <w:rPr>
                <w:rFonts w:cs="Arial"/>
                <w:sz w:val="22"/>
                <w:szCs w:val="22"/>
              </w:rPr>
              <w:t>Bob Price / Elaine Philip</w:t>
            </w:r>
          </w:p>
        </w:tc>
        <w:tc>
          <w:tcPr>
            <w:tcW w:w="1701" w:type="dxa"/>
          </w:tcPr>
          <w:p w:rsidR="00A068C0" w:rsidRDefault="00706748" w:rsidP="0021254A">
            <w:r>
              <w:t>Y</w:t>
            </w:r>
          </w:p>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3C1987" w:rsidRDefault="00EC1706" w:rsidP="00BD7A68">
            <w:pPr>
              <w:rPr>
                <w:rFonts w:cs="Arial"/>
                <w:b/>
                <w:bCs/>
                <w:sz w:val="22"/>
                <w:szCs w:val="22"/>
              </w:rPr>
            </w:pPr>
            <w:r>
              <w:rPr>
                <w:rFonts w:cs="Arial"/>
                <w:b/>
                <w:bCs/>
                <w:sz w:val="22"/>
                <w:szCs w:val="22"/>
              </w:rPr>
              <w:t>City Centre Public Spaces Protection Order (PSPO) – Scrutiny Committee 2 June</w:t>
            </w:r>
          </w:p>
        </w:tc>
      </w:tr>
      <w:tr w:rsidR="00BD7A68" w:rsidRPr="00B44C14" w:rsidTr="000A4475">
        <w:tc>
          <w:tcPr>
            <w:tcW w:w="5245" w:type="dxa"/>
            <w:shd w:val="clear" w:color="auto" w:fill="auto"/>
          </w:tcPr>
          <w:p w:rsidR="00BD7A68" w:rsidRPr="00B44C14" w:rsidRDefault="00BD7A68" w:rsidP="000A4475">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3C1987" w:rsidRDefault="00BD7A68" w:rsidP="00BD7A68">
            <w:pPr>
              <w:rPr>
                <w:rFonts w:cs="Arial"/>
                <w:b/>
                <w:sz w:val="22"/>
                <w:szCs w:val="22"/>
              </w:rPr>
            </w:pPr>
            <w:r w:rsidRPr="003C1987">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706748" w:rsidTr="000A4475">
        <w:tc>
          <w:tcPr>
            <w:tcW w:w="5245" w:type="dxa"/>
            <w:shd w:val="clear" w:color="auto" w:fill="auto"/>
          </w:tcPr>
          <w:p w:rsidR="00706748" w:rsidRPr="00B44C14" w:rsidRDefault="00706748" w:rsidP="000A4475">
            <w:pPr>
              <w:rPr>
                <w:rFonts w:cs="Arial"/>
                <w:sz w:val="22"/>
                <w:szCs w:val="22"/>
              </w:rPr>
            </w:pPr>
            <w:r w:rsidRPr="00EC1706">
              <w:rPr>
                <w:rFonts w:cs="Arial"/>
                <w:sz w:val="22"/>
                <w:szCs w:val="22"/>
              </w:rPr>
              <w:t>1. We recommend that an Enforcement Code of Conduct for Officers should be produced and that this code should be in place and in the public domain before any enforcement actions are taken under the City Centre Public Spaces Protection Order.</w:t>
            </w:r>
          </w:p>
        </w:tc>
        <w:tc>
          <w:tcPr>
            <w:tcW w:w="992" w:type="dxa"/>
            <w:shd w:val="clear" w:color="auto" w:fill="auto"/>
          </w:tcPr>
          <w:p w:rsidR="00706748" w:rsidRPr="002073B7" w:rsidRDefault="00706748" w:rsidP="00BD7A68">
            <w:pPr>
              <w:rPr>
                <w:rFonts w:cs="Arial"/>
              </w:rPr>
            </w:pPr>
          </w:p>
        </w:tc>
        <w:tc>
          <w:tcPr>
            <w:tcW w:w="4394" w:type="dxa"/>
            <w:vMerge w:val="restart"/>
            <w:shd w:val="clear" w:color="auto" w:fill="auto"/>
          </w:tcPr>
          <w:p w:rsidR="00706748" w:rsidRPr="00EF4CF3" w:rsidRDefault="00706748" w:rsidP="000A4475">
            <w:pPr>
              <w:rPr>
                <w:rFonts w:cs="Arial"/>
                <w:i/>
              </w:rPr>
            </w:pPr>
            <w:r w:rsidRPr="00EF4CF3">
              <w:rPr>
                <w:rFonts w:cs="Arial"/>
                <w:i/>
              </w:rPr>
              <w:t>Decision deferred.</w:t>
            </w:r>
          </w:p>
        </w:tc>
        <w:tc>
          <w:tcPr>
            <w:tcW w:w="1701" w:type="dxa"/>
          </w:tcPr>
          <w:p w:rsidR="00706748" w:rsidRPr="00B44C14" w:rsidRDefault="00706748" w:rsidP="00BD7A68">
            <w:pPr>
              <w:rPr>
                <w:rFonts w:cs="Arial"/>
                <w:sz w:val="22"/>
                <w:szCs w:val="22"/>
              </w:rPr>
            </w:pPr>
            <w:r>
              <w:rPr>
                <w:rFonts w:cs="Arial"/>
                <w:sz w:val="22"/>
                <w:szCs w:val="22"/>
              </w:rPr>
              <w:t>Dee Sinclair / Richard Adams</w:t>
            </w:r>
          </w:p>
        </w:tc>
        <w:tc>
          <w:tcPr>
            <w:tcW w:w="1701" w:type="dxa"/>
          </w:tcPr>
          <w:p w:rsidR="00706748" w:rsidRPr="006F4EBF" w:rsidRDefault="006F4EBF" w:rsidP="00BD7A68">
            <w:pPr>
              <w:rPr>
                <w:i/>
              </w:rPr>
            </w:pPr>
            <w:r w:rsidRPr="006F4EBF">
              <w:rPr>
                <w:i/>
              </w:rPr>
              <w:t>TBC</w:t>
            </w:r>
          </w:p>
        </w:tc>
      </w:tr>
      <w:tr w:rsidR="00706748" w:rsidTr="000A4475">
        <w:tc>
          <w:tcPr>
            <w:tcW w:w="5245" w:type="dxa"/>
            <w:shd w:val="clear" w:color="auto" w:fill="auto"/>
          </w:tcPr>
          <w:p w:rsidR="00706748" w:rsidRPr="00B44C14" w:rsidRDefault="00706748" w:rsidP="000A4475">
            <w:pPr>
              <w:rPr>
                <w:rFonts w:cs="Arial"/>
                <w:sz w:val="22"/>
                <w:szCs w:val="22"/>
              </w:rPr>
            </w:pPr>
            <w:r w:rsidRPr="00EC1706">
              <w:rPr>
                <w:rFonts w:cs="Arial"/>
                <w:sz w:val="22"/>
                <w:szCs w:val="22"/>
              </w:rPr>
              <w:t>2. We ask Executive to note that a minority of the Scrutiny Committee opposed aspects of the PSPO most notably the inclusion of non-aggressive begging and busking in the PSPO.</w:t>
            </w:r>
          </w:p>
        </w:tc>
        <w:tc>
          <w:tcPr>
            <w:tcW w:w="992" w:type="dxa"/>
            <w:shd w:val="clear" w:color="auto" w:fill="auto"/>
          </w:tcPr>
          <w:p w:rsidR="00706748" w:rsidRPr="002073B7" w:rsidRDefault="00706748" w:rsidP="00BD7A68">
            <w:pPr>
              <w:rPr>
                <w:rFonts w:cs="Arial"/>
              </w:rPr>
            </w:pPr>
          </w:p>
        </w:tc>
        <w:tc>
          <w:tcPr>
            <w:tcW w:w="4394" w:type="dxa"/>
            <w:vMerge/>
            <w:shd w:val="clear" w:color="auto" w:fill="auto"/>
          </w:tcPr>
          <w:p w:rsidR="00706748" w:rsidRPr="003C1987" w:rsidRDefault="00706748" w:rsidP="000A4475">
            <w:pPr>
              <w:rPr>
                <w:rFonts w:cs="Arial"/>
              </w:rPr>
            </w:pPr>
          </w:p>
        </w:tc>
        <w:tc>
          <w:tcPr>
            <w:tcW w:w="1701" w:type="dxa"/>
          </w:tcPr>
          <w:p w:rsidR="00706748" w:rsidRPr="00B44C14" w:rsidRDefault="00706748" w:rsidP="00BD7A68">
            <w:pPr>
              <w:rPr>
                <w:rFonts w:cs="Arial"/>
                <w:sz w:val="22"/>
                <w:szCs w:val="22"/>
              </w:rPr>
            </w:pPr>
            <w:r w:rsidRPr="00706748">
              <w:rPr>
                <w:rFonts w:cs="Arial"/>
                <w:sz w:val="22"/>
                <w:szCs w:val="22"/>
              </w:rPr>
              <w:t>Dee Sinclair / Richard Adams</w:t>
            </w:r>
          </w:p>
        </w:tc>
        <w:tc>
          <w:tcPr>
            <w:tcW w:w="1701" w:type="dxa"/>
          </w:tcPr>
          <w:p w:rsidR="00706748" w:rsidRDefault="00706748" w:rsidP="00BD7A68"/>
        </w:tc>
      </w:tr>
      <w:tr w:rsidR="00706748" w:rsidTr="000A4475">
        <w:tc>
          <w:tcPr>
            <w:tcW w:w="5245" w:type="dxa"/>
            <w:shd w:val="clear" w:color="auto" w:fill="auto"/>
          </w:tcPr>
          <w:p w:rsidR="00706748" w:rsidRPr="00B44C14" w:rsidRDefault="00706748" w:rsidP="000A4475">
            <w:pPr>
              <w:rPr>
                <w:rFonts w:cs="Arial"/>
                <w:sz w:val="22"/>
                <w:szCs w:val="22"/>
              </w:rPr>
            </w:pPr>
            <w:r w:rsidRPr="00EC1706">
              <w:rPr>
                <w:rFonts w:cs="Arial"/>
                <w:sz w:val="22"/>
                <w:szCs w:val="22"/>
              </w:rPr>
              <w:t xml:space="preserve">3. We recommend that the existing ‘Code of Conduct for Busking and Street Entertaining in Oxford’ should be reviewed and revised to provide a more comprehensive “Guide to Busking and Street Entertaining in Oxford”.  This guide should be accessible to buskers, street entertainers, businesses and the public, and draw on examples </w:t>
            </w:r>
            <w:r w:rsidRPr="00EC1706">
              <w:rPr>
                <w:rFonts w:cs="Arial"/>
                <w:sz w:val="22"/>
                <w:szCs w:val="22"/>
              </w:rPr>
              <w:lastRenderedPageBreak/>
              <w:t xml:space="preserve">of good practice from other cities, as well as input </w:t>
            </w:r>
            <w:r w:rsidRPr="00706748">
              <w:rPr>
                <w:rFonts w:cs="Arial"/>
                <w:sz w:val="22"/>
                <w:szCs w:val="22"/>
              </w:rPr>
              <w:t xml:space="preserve">Dee Sinclair / Richard Adams </w:t>
            </w:r>
            <w:r w:rsidRPr="00EC1706">
              <w:rPr>
                <w:rFonts w:cs="Arial"/>
                <w:sz w:val="22"/>
                <w:szCs w:val="22"/>
              </w:rPr>
              <w:t>from stakeholders such as the Musicians Union.  It should be in place before any enforcement actions are taken under the PSPO.</w:t>
            </w:r>
          </w:p>
        </w:tc>
        <w:tc>
          <w:tcPr>
            <w:tcW w:w="992" w:type="dxa"/>
            <w:shd w:val="clear" w:color="auto" w:fill="auto"/>
          </w:tcPr>
          <w:p w:rsidR="00706748" w:rsidRPr="002073B7" w:rsidRDefault="00706748" w:rsidP="00BD7A68">
            <w:pPr>
              <w:rPr>
                <w:rFonts w:cs="Arial"/>
              </w:rPr>
            </w:pPr>
          </w:p>
        </w:tc>
        <w:tc>
          <w:tcPr>
            <w:tcW w:w="4394" w:type="dxa"/>
            <w:vMerge/>
            <w:shd w:val="clear" w:color="auto" w:fill="auto"/>
          </w:tcPr>
          <w:p w:rsidR="00706748" w:rsidRPr="003C1987" w:rsidRDefault="00706748" w:rsidP="000A4475">
            <w:pPr>
              <w:rPr>
                <w:rFonts w:cs="Arial"/>
              </w:rPr>
            </w:pPr>
          </w:p>
        </w:tc>
        <w:tc>
          <w:tcPr>
            <w:tcW w:w="1701" w:type="dxa"/>
          </w:tcPr>
          <w:p w:rsidR="00706748" w:rsidRPr="00B44C14" w:rsidRDefault="00706748" w:rsidP="00BD7A68">
            <w:pPr>
              <w:rPr>
                <w:rFonts w:cs="Arial"/>
                <w:sz w:val="22"/>
                <w:szCs w:val="22"/>
              </w:rPr>
            </w:pPr>
            <w:r w:rsidRPr="00706748">
              <w:rPr>
                <w:rFonts w:cs="Arial"/>
                <w:sz w:val="22"/>
                <w:szCs w:val="22"/>
              </w:rPr>
              <w:t>Dee Sinclair / Richard Adams</w:t>
            </w:r>
          </w:p>
        </w:tc>
        <w:tc>
          <w:tcPr>
            <w:tcW w:w="1701" w:type="dxa"/>
          </w:tcPr>
          <w:p w:rsidR="00706748" w:rsidRDefault="00706748" w:rsidP="00BD7A68"/>
        </w:tc>
      </w:tr>
      <w:tr w:rsidR="00706748" w:rsidTr="00BD7A68">
        <w:tc>
          <w:tcPr>
            <w:tcW w:w="5245" w:type="dxa"/>
            <w:shd w:val="clear" w:color="auto" w:fill="auto"/>
            <w:vAlign w:val="center"/>
          </w:tcPr>
          <w:p w:rsidR="00706748" w:rsidRPr="00B44C14" w:rsidRDefault="00706748" w:rsidP="00BD7A68">
            <w:pPr>
              <w:rPr>
                <w:rFonts w:cs="Arial"/>
                <w:sz w:val="22"/>
                <w:szCs w:val="22"/>
              </w:rPr>
            </w:pPr>
            <w:r w:rsidRPr="00EC1706">
              <w:rPr>
                <w:rFonts w:cs="Arial"/>
                <w:sz w:val="22"/>
                <w:szCs w:val="22"/>
              </w:rPr>
              <w:lastRenderedPageBreak/>
              <w:t>4. We recommend that officers are instructed to look at the differential equalities impact of the PSPO proposals, for example the behaviour of sleeping in public toilets, having regard for example to safeguarding concerns for vulnerable adults.</w:t>
            </w:r>
          </w:p>
        </w:tc>
        <w:tc>
          <w:tcPr>
            <w:tcW w:w="992" w:type="dxa"/>
            <w:shd w:val="clear" w:color="auto" w:fill="auto"/>
          </w:tcPr>
          <w:p w:rsidR="00706748" w:rsidRPr="00B44C14" w:rsidRDefault="00706748" w:rsidP="00BD7A68">
            <w:pPr>
              <w:rPr>
                <w:rFonts w:cs="Arial"/>
                <w:sz w:val="22"/>
                <w:szCs w:val="22"/>
              </w:rPr>
            </w:pPr>
          </w:p>
        </w:tc>
        <w:tc>
          <w:tcPr>
            <w:tcW w:w="4394" w:type="dxa"/>
            <w:vMerge/>
            <w:shd w:val="clear" w:color="auto" w:fill="auto"/>
          </w:tcPr>
          <w:p w:rsidR="00706748" w:rsidRPr="003C1987" w:rsidRDefault="00706748" w:rsidP="000A4475">
            <w:pPr>
              <w:rPr>
                <w:rFonts w:cs="Arial"/>
                <w:sz w:val="22"/>
                <w:szCs w:val="22"/>
              </w:rPr>
            </w:pPr>
          </w:p>
        </w:tc>
        <w:tc>
          <w:tcPr>
            <w:tcW w:w="1701" w:type="dxa"/>
          </w:tcPr>
          <w:p w:rsidR="00706748" w:rsidRPr="00B44C14" w:rsidRDefault="00706748" w:rsidP="00BD7A68">
            <w:pPr>
              <w:rPr>
                <w:rFonts w:cs="Arial"/>
                <w:sz w:val="22"/>
                <w:szCs w:val="22"/>
              </w:rPr>
            </w:pPr>
            <w:r w:rsidRPr="00706748">
              <w:rPr>
                <w:rFonts w:cs="Arial"/>
                <w:sz w:val="22"/>
                <w:szCs w:val="22"/>
              </w:rPr>
              <w:t>Dee Sinclair / Richard Adams</w:t>
            </w:r>
          </w:p>
        </w:tc>
        <w:tc>
          <w:tcPr>
            <w:tcW w:w="1701" w:type="dxa"/>
          </w:tcPr>
          <w:p w:rsidR="00706748" w:rsidRDefault="00706748" w:rsidP="00BD7A68"/>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EC1706" w:rsidP="00BD7A68">
            <w:pPr>
              <w:rPr>
                <w:rFonts w:cs="Arial"/>
                <w:b/>
                <w:bCs/>
                <w:sz w:val="22"/>
                <w:szCs w:val="22"/>
              </w:rPr>
            </w:pPr>
            <w:r>
              <w:rPr>
                <w:rFonts w:cs="Arial"/>
                <w:b/>
                <w:bCs/>
                <w:sz w:val="22"/>
                <w:szCs w:val="22"/>
              </w:rPr>
              <w:t>Housing Asset Management Strategy – Housing Panel 4 June</w:t>
            </w:r>
          </w:p>
        </w:tc>
      </w:tr>
      <w:tr w:rsidR="00BD7A68" w:rsidRPr="00B44C14" w:rsidTr="00BD7A68">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BD7A68">
        <w:tc>
          <w:tcPr>
            <w:tcW w:w="5245" w:type="dxa"/>
            <w:shd w:val="clear" w:color="auto" w:fill="auto"/>
            <w:vAlign w:val="center"/>
          </w:tcPr>
          <w:p w:rsidR="00BD7A68" w:rsidRPr="00B44C14" w:rsidRDefault="00EC1706" w:rsidP="00BD7A68">
            <w:pPr>
              <w:rPr>
                <w:rFonts w:cs="Arial"/>
                <w:sz w:val="22"/>
                <w:szCs w:val="22"/>
              </w:rPr>
            </w:pPr>
            <w:r w:rsidRPr="00EC1706">
              <w:rPr>
                <w:rFonts w:cs="Arial"/>
                <w:sz w:val="22"/>
                <w:szCs w:val="22"/>
              </w:rPr>
              <w:t xml:space="preserve">1. We note that a number City Council owned garages are not in use and recommend that the City Council reviews how it could make better use of these assets (for example as sites for new affordable housing or free off street car parking for residents), treating several garage sites as a virtual site.  Consideration should be given to explicitly stating this aim, currently implied, in the Asset Management Strategy.  </w:t>
            </w:r>
          </w:p>
        </w:tc>
        <w:tc>
          <w:tcPr>
            <w:tcW w:w="992" w:type="dxa"/>
            <w:shd w:val="clear" w:color="auto" w:fill="auto"/>
          </w:tcPr>
          <w:p w:rsidR="00BD7A68" w:rsidRPr="00B44C14" w:rsidRDefault="006F4EBF" w:rsidP="00BD7A68">
            <w:pPr>
              <w:rPr>
                <w:rFonts w:cs="Arial"/>
                <w:sz w:val="22"/>
                <w:szCs w:val="22"/>
              </w:rPr>
            </w:pPr>
            <w:r>
              <w:rPr>
                <w:rFonts w:cs="Arial"/>
                <w:sz w:val="22"/>
                <w:szCs w:val="22"/>
              </w:rPr>
              <w:t>In part</w:t>
            </w:r>
          </w:p>
        </w:tc>
        <w:tc>
          <w:tcPr>
            <w:tcW w:w="4394" w:type="dxa"/>
            <w:shd w:val="clear" w:color="auto" w:fill="auto"/>
          </w:tcPr>
          <w:p w:rsidR="00BD7A68" w:rsidRPr="00706748" w:rsidRDefault="00706748" w:rsidP="00706748">
            <w:pPr>
              <w:rPr>
                <w:rFonts w:cs="Arial"/>
                <w:sz w:val="22"/>
                <w:szCs w:val="22"/>
              </w:rPr>
            </w:pPr>
            <w:r>
              <w:rPr>
                <w:rFonts w:cs="Arial"/>
                <w:sz w:val="22"/>
                <w:szCs w:val="22"/>
              </w:rPr>
              <w:t>Garages are not housing assets so won’t be mentioned in this strategy but we will be make better use of our garage assets.</w:t>
            </w:r>
          </w:p>
        </w:tc>
        <w:tc>
          <w:tcPr>
            <w:tcW w:w="1701" w:type="dxa"/>
          </w:tcPr>
          <w:p w:rsidR="00BD7A68" w:rsidRPr="00B44C14" w:rsidRDefault="00706748" w:rsidP="00BD7A68">
            <w:pPr>
              <w:rPr>
                <w:rFonts w:cs="Arial"/>
                <w:sz w:val="22"/>
                <w:szCs w:val="22"/>
              </w:rPr>
            </w:pPr>
            <w:r>
              <w:rPr>
                <w:rFonts w:cs="Arial"/>
                <w:sz w:val="22"/>
                <w:szCs w:val="22"/>
              </w:rPr>
              <w:t xml:space="preserve">Scott </w:t>
            </w:r>
            <w:proofErr w:type="spellStart"/>
            <w:r>
              <w:rPr>
                <w:rFonts w:cs="Arial"/>
                <w:sz w:val="22"/>
                <w:szCs w:val="22"/>
              </w:rPr>
              <w:t>Seamons</w:t>
            </w:r>
            <w:proofErr w:type="spellEnd"/>
            <w:r>
              <w:rPr>
                <w:rFonts w:cs="Arial"/>
                <w:sz w:val="22"/>
                <w:szCs w:val="22"/>
              </w:rPr>
              <w:t xml:space="preserve"> / Stephen Clarke</w:t>
            </w:r>
          </w:p>
        </w:tc>
        <w:tc>
          <w:tcPr>
            <w:tcW w:w="1701" w:type="dxa"/>
          </w:tcPr>
          <w:p w:rsidR="00BD7A68" w:rsidRDefault="00BD7A68" w:rsidP="00BD7A68"/>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EC1706" w:rsidP="00BD7A68">
            <w:pPr>
              <w:rPr>
                <w:rFonts w:cs="Arial"/>
                <w:b/>
                <w:bCs/>
                <w:sz w:val="22"/>
                <w:szCs w:val="22"/>
              </w:rPr>
            </w:pPr>
            <w:r w:rsidRPr="00EC1706">
              <w:rPr>
                <w:rFonts w:cs="Arial"/>
                <w:b/>
                <w:bCs/>
                <w:sz w:val="22"/>
                <w:szCs w:val="22"/>
              </w:rPr>
              <w:t>Review of the HMO Licensing Scheme</w:t>
            </w:r>
            <w:r>
              <w:rPr>
                <w:rFonts w:cs="Arial"/>
                <w:b/>
                <w:bCs/>
                <w:sz w:val="22"/>
                <w:szCs w:val="22"/>
              </w:rPr>
              <w:t xml:space="preserve"> – Housing Panel  4 June</w:t>
            </w:r>
          </w:p>
        </w:tc>
      </w:tr>
      <w:tr w:rsidR="00BD7A68" w:rsidRPr="00B44C14" w:rsidTr="00BD7A68">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BD7A68">
        <w:tc>
          <w:tcPr>
            <w:tcW w:w="5245" w:type="dxa"/>
            <w:shd w:val="clear" w:color="auto" w:fill="auto"/>
            <w:vAlign w:val="center"/>
          </w:tcPr>
          <w:p w:rsidR="00BD7A68" w:rsidRPr="00B44C14" w:rsidRDefault="00EC1706" w:rsidP="00BD7A68">
            <w:pPr>
              <w:rPr>
                <w:rFonts w:cs="Arial"/>
                <w:sz w:val="22"/>
                <w:szCs w:val="22"/>
              </w:rPr>
            </w:pPr>
            <w:r w:rsidRPr="00EC1706">
              <w:rPr>
                <w:rFonts w:cs="Arial"/>
                <w:sz w:val="22"/>
                <w:szCs w:val="22"/>
              </w:rPr>
              <w:t xml:space="preserve">1. We recommend that the City Council renews the HMO licensing scheme in its entirety for a further 5 years (option 3).  Consideration should be given to appropriate incentives and disincentives for landlords, and to the balance between taking a more pro-active approach to compliance whilst continuing efforts to extend the licensing scheme to cover more HMOs.  </w:t>
            </w:r>
          </w:p>
        </w:tc>
        <w:tc>
          <w:tcPr>
            <w:tcW w:w="992" w:type="dxa"/>
            <w:shd w:val="clear" w:color="auto" w:fill="auto"/>
          </w:tcPr>
          <w:p w:rsidR="00BD7A68" w:rsidRPr="00B44C14" w:rsidRDefault="00706748" w:rsidP="00BD7A68">
            <w:pPr>
              <w:rPr>
                <w:rFonts w:cs="Arial"/>
                <w:sz w:val="22"/>
                <w:szCs w:val="22"/>
              </w:rPr>
            </w:pPr>
            <w:r>
              <w:rPr>
                <w:rFonts w:cs="Arial"/>
                <w:sz w:val="22"/>
                <w:szCs w:val="22"/>
              </w:rPr>
              <w:t>Y</w:t>
            </w:r>
          </w:p>
        </w:tc>
        <w:tc>
          <w:tcPr>
            <w:tcW w:w="4394" w:type="dxa"/>
            <w:shd w:val="clear" w:color="auto" w:fill="auto"/>
          </w:tcPr>
          <w:p w:rsidR="00BD7A68" w:rsidRPr="00A068C0" w:rsidRDefault="00BD7A68" w:rsidP="00BD7A68">
            <w:pPr>
              <w:rPr>
                <w:rFonts w:cs="Arial"/>
                <w:sz w:val="22"/>
                <w:szCs w:val="22"/>
              </w:rPr>
            </w:pPr>
          </w:p>
        </w:tc>
        <w:tc>
          <w:tcPr>
            <w:tcW w:w="1701" w:type="dxa"/>
          </w:tcPr>
          <w:p w:rsidR="00BD7A68" w:rsidRPr="00B44C14" w:rsidRDefault="00706748" w:rsidP="00BD7A68">
            <w:pPr>
              <w:rPr>
                <w:rFonts w:cs="Arial"/>
                <w:sz w:val="22"/>
                <w:szCs w:val="22"/>
              </w:rPr>
            </w:pPr>
            <w:r>
              <w:rPr>
                <w:rFonts w:cs="Arial"/>
                <w:sz w:val="22"/>
                <w:szCs w:val="22"/>
              </w:rPr>
              <w:t xml:space="preserve">Scott </w:t>
            </w:r>
            <w:proofErr w:type="spellStart"/>
            <w:r>
              <w:rPr>
                <w:rFonts w:cs="Arial"/>
                <w:sz w:val="22"/>
                <w:szCs w:val="22"/>
              </w:rPr>
              <w:t>Seamons</w:t>
            </w:r>
            <w:proofErr w:type="spellEnd"/>
            <w:r>
              <w:rPr>
                <w:rFonts w:cs="Arial"/>
                <w:sz w:val="22"/>
                <w:szCs w:val="22"/>
              </w:rPr>
              <w:t xml:space="preserve"> / Ian Wright</w:t>
            </w:r>
          </w:p>
        </w:tc>
        <w:tc>
          <w:tcPr>
            <w:tcW w:w="1701" w:type="dxa"/>
          </w:tcPr>
          <w:p w:rsidR="00BD7A68" w:rsidRDefault="00706748" w:rsidP="00BD7A68">
            <w:r>
              <w:t>Y</w:t>
            </w:r>
          </w:p>
        </w:tc>
      </w:tr>
      <w:tr w:rsidR="00EC1706" w:rsidTr="00BD7A68">
        <w:tc>
          <w:tcPr>
            <w:tcW w:w="5245" w:type="dxa"/>
            <w:shd w:val="clear" w:color="auto" w:fill="auto"/>
            <w:vAlign w:val="center"/>
          </w:tcPr>
          <w:p w:rsidR="00EC1706" w:rsidRPr="00EC1706" w:rsidRDefault="00EC1706" w:rsidP="00EC1706">
            <w:pPr>
              <w:rPr>
                <w:rFonts w:cs="Arial"/>
                <w:sz w:val="22"/>
                <w:szCs w:val="22"/>
              </w:rPr>
            </w:pPr>
            <w:r w:rsidRPr="00EC1706">
              <w:rPr>
                <w:rFonts w:cs="Arial"/>
                <w:sz w:val="22"/>
                <w:szCs w:val="22"/>
              </w:rPr>
              <w:lastRenderedPageBreak/>
              <w:t>2. We note that the City Council is developing a Corporate Enforcement Policy and recommend that:</w:t>
            </w:r>
          </w:p>
          <w:p w:rsidR="00EC1706" w:rsidRPr="00EC1706" w:rsidRDefault="00EC1706" w:rsidP="00EC1706">
            <w:pPr>
              <w:rPr>
                <w:rFonts w:cs="Arial"/>
                <w:sz w:val="22"/>
                <w:szCs w:val="22"/>
              </w:rPr>
            </w:pPr>
            <w:r w:rsidRPr="00EC1706">
              <w:rPr>
                <w:rFonts w:cs="Arial"/>
                <w:sz w:val="22"/>
                <w:szCs w:val="22"/>
              </w:rPr>
              <w:t>a) Enforcement within the Private Rented Sector is a corporate priority,</w:t>
            </w:r>
          </w:p>
          <w:p w:rsidR="00EC1706" w:rsidRPr="00B44C14" w:rsidRDefault="00EC1706" w:rsidP="00EC1706">
            <w:pPr>
              <w:rPr>
                <w:rFonts w:cs="Arial"/>
                <w:sz w:val="22"/>
                <w:szCs w:val="22"/>
              </w:rPr>
            </w:pPr>
            <w:r w:rsidRPr="00EC1706">
              <w:rPr>
                <w:rFonts w:cs="Arial"/>
                <w:sz w:val="22"/>
                <w:szCs w:val="22"/>
              </w:rPr>
              <w:t>b) The Policy recognises that the City Council should take a different approach to enforcement in different sectors (e.g. Private Rented Sector, Public Spaces Protection Orders, etc.), rather than a one size fits all approach.</w:t>
            </w:r>
          </w:p>
        </w:tc>
        <w:tc>
          <w:tcPr>
            <w:tcW w:w="992" w:type="dxa"/>
            <w:shd w:val="clear" w:color="auto" w:fill="auto"/>
          </w:tcPr>
          <w:p w:rsidR="00EC1706" w:rsidRPr="00B44C14" w:rsidRDefault="00706748" w:rsidP="00BD7A68">
            <w:pPr>
              <w:rPr>
                <w:rFonts w:cs="Arial"/>
                <w:sz w:val="22"/>
                <w:szCs w:val="22"/>
              </w:rPr>
            </w:pPr>
            <w:r>
              <w:rPr>
                <w:rFonts w:cs="Arial"/>
                <w:sz w:val="22"/>
                <w:szCs w:val="22"/>
              </w:rPr>
              <w:t>Y</w:t>
            </w:r>
          </w:p>
        </w:tc>
        <w:tc>
          <w:tcPr>
            <w:tcW w:w="4394" w:type="dxa"/>
            <w:shd w:val="clear" w:color="auto" w:fill="auto"/>
          </w:tcPr>
          <w:p w:rsidR="00EC1706" w:rsidRPr="00A068C0" w:rsidRDefault="00EC1706" w:rsidP="00BD7A68">
            <w:pPr>
              <w:rPr>
                <w:rFonts w:cs="Arial"/>
                <w:sz w:val="22"/>
                <w:szCs w:val="22"/>
              </w:rPr>
            </w:pPr>
          </w:p>
        </w:tc>
        <w:tc>
          <w:tcPr>
            <w:tcW w:w="1701" w:type="dxa"/>
          </w:tcPr>
          <w:p w:rsidR="00EC1706" w:rsidRPr="00B44C14" w:rsidRDefault="00706748" w:rsidP="00BD7A68">
            <w:pPr>
              <w:rPr>
                <w:rFonts w:cs="Arial"/>
                <w:sz w:val="22"/>
                <w:szCs w:val="22"/>
              </w:rPr>
            </w:pPr>
            <w:r>
              <w:rPr>
                <w:rFonts w:cs="Arial"/>
                <w:sz w:val="22"/>
                <w:szCs w:val="22"/>
              </w:rPr>
              <w:t>Alex Hollingsworth / Cathy Gallagher</w:t>
            </w:r>
          </w:p>
        </w:tc>
        <w:tc>
          <w:tcPr>
            <w:tcW w:w="1701" w:type="dxa"/>
          </w:tcPr>
          <w:p w:rsidR="00EC1706" w:rsidRDefault="00706748" w:rsidP="00BD7A68">
            <w:r>
              <w:t>Nov 2015</w:t>
            </w:r>
          </w:p>
        </w:tc>
      </w:tr>
    </w:tbl>
    <w:p w:rsidR="00C650ED" w:rsidRPr="00B44C14" w:rsidRDefault="00C650ED" w:rsidP="00807DCE">
      <w:pPr>
        <w:rPr>
          <w:rFonts w:cs="Arial"/>
          <w:sz w:val="22"/>
          <w:szCs w:val="22"/>
        </w:rPr>
      </w:pPr>
    </w:p>
    <w:sectPr w:rsidR="00C650ED" w:rsidRPr="00B44C14"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EC" w:rsidRDefault="008439EC" w:rsidP="00B53CB3">
      <w:r>
        <w:separator/>
      </w:r>
    </w:p>
  </w:endnote>
  <w:endnote w:type="continuationSeparator" w:id="0">
    <w:p w:rsidR="008439EC" w:rsidRDefault="008439EC"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EC" w:rsidRDefault="008439EC" w:rsidP="00B53CB3">
      <w:r>
        <w:separator/>
      </w:r>
    </w:p>
  </w:footnote>
  <w:footnote w:type="continuationSeparator" w:id="0">
    <w:p w:rsidR="008439EC" w:rsidRDefault="008439EC"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EC" w:rsidRDefault="00CD1800" w:rsidP="00B53CB3">
    <w:pPr>
      <w:pStyle w:val="Header"/>
      <w:jc w:val="right"/>
    </w:pPr>
    <w:r>
      <w:t>12 June</w:t>
    </w:r>
    <w:r w:rsidR="008439EC">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7"/>
  </w:num>
  <w:num w:numId="4">
    <w:abstractNumId w:val="18"/>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2"/>
  </w:num>
  <w:num w:numId="10">
    <w:abstractNumId w:val="7"/>
  </w:num>
  <w:num w:numId="11">
    <w:abstractNumId w:val="1"/>
  </w:num>
  <w:num w:numId="12">
    <w:abstractNumId w:val="16"/>
  </w:num>
  <w:num w:numId="13">
    <w:abstractNumId w:val="14"/>
  </w:num>
  <w:num w:numId="14">
    <w:abstractNumId w:val="15"/>
  </w:num>
  <w:num w:numId="15">
    <w:abstractNumId w:val="3"/>
  </w:num>
  <w:num w:numId="16">
    <w:abstractNumId w:val="11"/>
  </w:num>
  <w:num w:numId="17">
    <w:abstractNumId w:val="6"/>
  </w:num>
  <w:num w:numId="18">
    <w:abstractNumId w:val="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907A4"/>
    <w:rsid w:val="000A4475"/>
    <w:rsid w:val="000A641D"/>
    <w:rsid w:val="000B4310"/>
    <w:rsid w:val="000C2351"/>
    <w:rsid w:val="000C7EFC"/>
    <w:rsid w:val="000F1206"/>
    <w:rsid w:val="000F3DFE"/>
    <w:rsid w:val="001035B3"/>
    <w:rsid w:val="0017183A"/>
    <w:rsid w:val="00180D75"/>
    <w:rsid w:val="001D5FF1"/>
    <w:rsid w:val="001E75C0"/>
    <w:rsid w:val="001F088D"/>
    <w:rsid w:val="002014D2"/>
    <w:rsid w:val="002073B7"/>
    <w:rsid w:val="0021254A"/>
    <w:rsid w:val="002156E2"/>
    <w:rsid w:val="00220229"/>
    <w:rsid w:val="00223663"/>
    <w:rsid w:val="002511EA"/>
    <w:rsid w:val="002A0C78"/>
    <w:rsid w:val="002B5B42"/>
    <w:rsid w:val="002C0C24"/>
    <w:rsid w:val="002E7B68"/>
    <w:rsid w:val="002F3A2A"/>
    <w:rsid w:val="003023E9"/>
    <w:rsid w:val="00316382"/>
    <w:rsid w:val="00326344"/>
    <w:rsid w:val="00327FFE"/>
    <w:rsid w:val="0035028E"/>
    <w:rsid w:val="00357022"/>
    <w:rsid w:val="003609CE"/>
    <w:rsid w:val="003868AF"/>
    <w:rsid w:val="00395D50"/>
    <w:rsid w:val="003A37E9"/>
    <w:rsid w:val="003B3272"/>
    <w:rsid w:val="003C1987"/>
    <w:rsid w:val="003C7868"/>
    <w:rsid w:val="004000D7"/>
    <w:rsid w:val="00414EEA"/>
    <w:rsid w:val="00447415"/>
    <w:rsid w:val="004902A3"/>
    <w:rsid w:val="004A6057"/>
    <w:rsid w:val="00504E43"/>
    <w:rsid w:val="00522963"/>
    <w:rsid w:val="00551928"/>
    <w:rsid w:val="00583C5A"/>
    <w:rsid w:val="005A0260"/>
    <w:rsid w:val="005B58FD"/>
    <w:rsid w:val="005C3282"/>
    <w:rsid w:val="005F5124"/>
    <w:rsid w:val="00603BD1"/>
    <w:rsid w:val="00614208"/>
    <w:rsid w:val="00625D14"/>
    <w:rsid w:val="00640379"/>
    <w:rsid w:val="006625D8"/>
    <w:rsid w:val="006F4EBF"/>
    <w:rsid w:val="006F5159"/>
    <w:rsid w:val="00706748"/>
    <w:rsid w:val="0071229E"/>
    <w:rsid w:val="00753A00"/>
    <w:rsid w:val="00764563"/>
    <w:rsid w:val="00770B64"/>
    <w:rsid w:val="007908F4"/>
    <w:rsid w:val="007A0A6C"/>
    <w:rsid w:val="007A4A33"/>
    <w:rsid w:val="007B337C"/>
    <w:rsid w:val="00807DCE"/>
    <w:rsid w:val="008314CD"/>
    <w:rsid w:val="008439EC"/>
    <w:rsid w:val="00844866"/>
    <w:rsid w:val="00846740"/>
    <w:rsid w:val="00855DA9"/>
    <w:rsid w:val="008A22C6"/>
    <w:rsid w:val="008A7475"/>
    <w:rsid w:val="008B5F60"/>
    <w:rsid w:val="008C0949"/>
    <w:rsid w:val="008D24F2"/>
    <w:rsid w:val="00933E25"/>
    <w:rsid w:val="0095142D"/>
    <w:rsid w:val="00956626"/>
    <w:rsid w:val="0097480E"/>
    <w:rsid w:val="00980EFA"/>
    <w:rsid w:val="00985E86"/>
    <w:rsid w:val="00991CB7"/>
    <w:rsid w:val="009B54B8"/>
    <w:rsid w:val="00A068C0"/>
    <w:rsid w:val="00A148F9"/>
    <w:rsid w:val="00A2637A"/>
    <w:rsid w:val="00A308B0"/>
    <w:rsid w:val="00A52ED5"/>
    <w:rsid w:val="00A82BD6"/>
    <w:rsid w:val="00A8300A"/>
    <w:rsid w:val="00AA0338"/>
    <w:rsid w:val="00AA66C9"/>
    <w:rsid w:val="00AB74FD"/>
    <w:rsid w:val="00AD2B44"/>
    <w:rsid w:val="00AD4070"/>
    <w:rsid w:val="00B035ED"/>
    <w:rsid w:val="00B06093"/>
    <w:rsid w:val="00B15A23"/>
    <w:rsid w:val="00B44C14"/>
    <w:rsid w:val="00B53CB3"/>
    <w:rsid w:val="00B546F7"/>
    <w:rsid w:val="00B87404"/>
    <w:rsid w:val="00B92E5F"/>
    <w:rsid w:val="00B96221"/>
    <w:rsid w:val="00BA635A"/>
    <w:rsid w:val="00BB1942"/>
    <w:rsid w:val="00BB68B5"/>
    <w:rsid w:val="00BD198F"/>
    <w:rsid w:val="00BD7A68"/>
    <w:rsid w:val="00BE05DB"/>
    <w:rsid w:val="00BE4848"/>
    <w:rsid w:val="00BF26ED"/>
    <w:rsid w:val="00C07F80"/>
    <w:rsid w:val="00C36F77"/>
    <w:rsid w:val="00C57971"/>
    <w:rsid w:val="00C650ED"/>
    <w:rsid w:val="00C711B7"/>
    <w:rsid w:val="00C90875"/>
    <w:rsid w:val="00CB5B94"/>
    <w:rsid w:val="00CC680A"/>
    <w:rsid w:val="00CD1800"/>
    <w:rsid w:val="00CF193A"/>
    <w:rsid w:val="00CF3D58"/>
    <w:rsid w:val="00D17647"/>
    <w:rsid w:val="00D231E7"/>
    <w:rsid w:val="00D52741"/>
    <w:rsid w:val="00D57AC1"/>
    <w:rsid w:val="00D67F33"/>
    <w:rsid w:val="00D93E13"/>
    <w:rsid w:val="00DA317E"/>
    <w:rsid w:val="00DB6F15"/>
    <w:rsid w:val="00DE7627"/>
    <w:rsid w:val="00DF2345"/>
    <w:rsid w:val="00E07E73"/>
    <w:rsid w:val="00E4362E"/>
    <w:rsid w:val="00E57A03"/>
    <w:rsid w:val="00E73644"/>
    <w:rsid w:val="00E802C3"/>
    <w:rsid w:val="00EA7849"/>
    <w:rsid w:val="00EC1706"/>
    <w:rsid w:val="00EF4CF3"/>
    <w:rsid w:val="00F01082"/>
    <w:rsid w:val="00F23B74"/>
    <w:rsid w:val="00F551A2"/>
    <w:rsid w:val="00F623D5"/>
    <w:rsid w:val="00F81C76"/>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F797-A87F-4895-AE5B-8968BE10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F7271B6B</Template>
  <TotalTime>34</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7</cp:revision>
  <dcterms:created xsi:type="dcterms:W3CDTF">2015-06-11T15:05:00Z</dcterms:created>
  <dcterms:modified xsi:type="dcterms:W3CDTF">2015-06-12T11:11:00Z</dcterms:modified>
</cp:coreProperties>
</file>